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4DA1B29" w14:textId="4ACF646D" w:rsidR="00506CA1" w:rsidRPr="00506CA1" w:rsidRDefault="00506CA1" w:rsidP="00506CA1">
      <w:pPr>
        <w:jc w:val="both"/>
        <w:rPr>
          <w:b/>
          <w:bCs/>
          <w:sz w:val="28"/>
          <w:szCs w:val="28"/>
          <w:lang w:val="en-GB"/>
        </w:rPr>
      </w:pPr>
      <w:r w:rsidRPr="00506CA1">
        <w:rPr>
          <w:b/>
          <w:bCs/>
          <w:sz w:val="28"/>
          <w:szCs w:val="28"/>
          <w:lang w:val="en-GB"/>
        </w:rPr>
        <w:t>Fehr Group Company Profile</w:t>
      </w:r>
    </w:p>
    <w:p w14:paraId="6E50DDB1" w14:textId="77777777" w:rsidR="00506CA1" w:rsidRPr="00506CA1" w:rsidRDefault="00506CA1" w:rsidP="00506CA1">
      <w:pPr>
        <w:jc w:val="both"/>
        <w:rPr>
          <w:rFonts w:ascii="Calibri" w:hAnsi="Calibri" w:cs="Calibri"/>
          <w:sz w:val="22"/>
          <w:szCs w:val="22"/>
          <w:lang w:val="en-GB"/>
        </w:rPr>
      </w:pPr>
      <w:r w:rsidRPr="00506CA1">
        <w:rPr>
          <w:rFonts w:ascii="Calibri" w:hAnsi="Calibri" w:cs="Calibri"/>
          <w:sz w:val="22"/>
          <w:szCs w:val="22"/>
          <w:lang w:val="en-GB"/>
        </w:rPr>
        <w:t>Founded in 1949 by Hans Fehr in Switzerland, Fehr has evolved from a specialist engineering company focused on logistics solutions for long goods into an international provider of automated intralogistics and material flow systems. For more than 75 years, the company has continuously pioneered new technologies, helping manufacturers and distributors optimize the movement, storage, and handling of materials through intelligent, future-oriented solutions.</w:t>
      </w:r>
    </w:p>
    <w:p w14:paraId="2F55BB6C" w14:textId="77777777" w:rsidR="00506CA1" w:rsidRPr="00506CA1" w:rsidRDefault="00506CA1" w:rsidP="00506CA1">
      <w:pPr>
        <w:jc w:val="both"/>
        <w:rPr>
          <w:rFonts w:ascii="Calibri" w:hAnsi="Calibri" w:cs="Calibri"/>
          <w:sz w:val="22"/>
          <w:szCs w:val="22"/>
          <w:lang w:val="en-GB"/>
        </w:rPr>
      </w:pPr>
    </w:p>
    <w:p w14:paraId="0703FC46" w14:textId="77777777" w:rsidR="00506CA1" w:rsidRPr="00506CA1" w:rsidRDefault="00506CA1" w:rsidP="00506CA1">
      <w:pPr>
        <w:jc w:val="both"/>
        <w:rPr>
          <w:rFonts w:ascii="Calibri" w:hAnsi="Calibri" w:cs="Calibri"/>
          <w:sz w:val="22"/>
          <w:szCs w:val="22"/>
          <w:lang w:val="en-GB"/>
        </w:rPr>
      </w:pPr>
      <w:r w:rsidRPr="00506CA1">
        <w:rPr>
          <w:rFonts w:ascii="Calibri" w:hAnsi="Calibri" w:cs="Calibri"/>
          <w:sz w:val="22"/>
          <w:szCs w:val="22"/>
          <w:lang w:val="en-GB"/>
        </w:rPr>
        <w:t>Today, Fehr specializes in the design and implementation of fully integrated intralogistics systems that seamlessly connect production, warehousing, automation, and IT into one coordinated environment. The company's philosophy is based on creating efficient, reliable, and scalable material flow solutions that support customers' long-term growth and operational excellence.</w:t>
      </w:r>
    </w:p>
    <w:p w14:paraId="3EF1BB55" w14:textId="77777777" w:rsidR="00506CA1" w:rsidRPr="00506CA1" w:rsidRDefault="00506CA1" w:rsidP="00506CA1">
      <w:pPr>
        <w:jc w:val="both"/>
        <w:rPr>
          <w:rFonts w:ascii="Calibri" w:hAnsi="Calibri" w:cs="Calibri"/>
          <w:sz w:val="22"/>
          <w:szCs w:val="22"/>
          <w:lang w:val="en-GB"/>
        </w:rPr>
      </w:pPr>
    </w:p>
    <w:p w14:paraId="276A7754" w14:textId="17834449" w:rsidR="00506CA1" w:rsidRPr="00506CA1" w:rsidRDefault="00506CA1" w:rsidP="00506CA1">
      <w:pPr>
        <w:jc w:val="both"/>
        <w:rPr>
          <w:rFonts w:ascii="Calibri" w:hAnsi="Calibri" w:cs="Calibri"/>
          <w:sz w:val="22"/>
          <w:szCs w:val="22"/>
          <w:lang w:val="en-GB"/>
        </w:rPr>
      </w:pPr>
      <w:r w:rsidRPr="00506CA1">
        <w:rPr>
          <w:rFonts w:ascii="Calibri" w:hAnsi="Calibri" w:cs="Calibri"/>
          <w:sz w:val="22"/>
          <w:szCs w:val="22"/>
          <w:lang w:val="en-GB"/>
        </w:rPr>
        <w:t>Fehr's portfolio includes:</w:t>
      </w:r>
    </w:p>
    <w:p w14:paraId="3A7097E0" w14:textId="77777777" w:rsidR="00506CA1" w:rsidRPr="00506CA1" w:rsidRDefault="00506CA1" w:rsidP="00506CA1">
      <w:pPr>
        <w:pStyle w:val="Akapitzlist"/>
        <w:numPr>
          <w:ilvl w:val="0"/>
          <w:numId w:val="1"/>
        </w:numPr>
        <w:jc w:val="both"/>
        <w:rPr>
          <w:rFonts w:ascii="Calibri" w:hAnsi="Calibri" w:cs="Calibri"/>
          <w:sz w:val="22"/>
          <w:szCs w:val="22"/>
          <w:lang w:val="en-GB"/>
        </w:rPr>
      </w:pPr>
      <w:r w:rsidRPr="00506CA1">
        <w:rPr>
          <w:rFonts w:ascii="Calibri" w:hAnsi="Calibri" w:cs="Calibri"/>
          <w:sz w:val="22"/>
          <w:szCs w:val="22"/>
          <w:lang w:val="en-GB"/>
        </w:rPr>
        <w:t>Automated storage systems for long goods such as profiles, tubes, bars, and steel products</w:t>
      </w:r>
    </w:p>
    <w:p w14:paraId="0C7F355C" w14:textId="77777777" w:rsidR="00506CA1" w:rsidRPr="00506CA1" w:rsidRDefault="00506CA1" w:rsidP="00506CA1">
      <w:pPr>
        <w:pStyle w:val="Akapitzlist"/>
        <w:numPr>
          <w:ilvl w:val="0"/>
          <w:numId w:val="1"/>
        </w:numPr>
        <w:jc w:val="both"/>
        <w:rPr>
          <w:rFonts w:ascii="Calibri" w:hAnsi="Calibri" w:cs="Calibri"/>
          <w:sz w:val="22"/>
          <w:szCs w:val="22"/>
          <w:lang w:val="en-GB"/>
        </w:rPr>
      </w:pPr>
      <w:r w:rsidRPr="00506CA1">
        <w:rPr>
          <w:rFonts w:ascii="Calibri" w:hAnsi="Calibri" w:cs="Calibri"/>
          <w:sz w:val="22"/>
          <w:szCs w:val="22"/>
          <w:lang w:val="en-GB"/>
        </w:rPr>
        <w:t>Automated storage systems for flat materials including panels, sheets, boards, and plates</w:t>
      </w:r>
    </w:p>
    <w:p w14:paraId="072EBAC1" w14:textId="77777777" w:rsidR="00506CA1" w:rsidRPr="00506CA1" w:rsidRDefault="00506CA1" w:rsidP="00506CA1">
      <w:pPr>
        <w:pStyle w:val="Akapitzlist"/>
        <w:numPr>
          <w:ilvl w:val="0"/>
          <w:numId w:val="1"/>
        </w:numPr>
        <w:jc w:val="both"/>
        <w:rPr>
          <w:rFonts w:ascii="Calibri" w:hAnsi="Calibri" w:cs="Calibri"/>
          <w:sz w:val="22"/>
          <w:szCs w:val="22"/>
          <w:lang w:val="en-GB"/>
        </w:rPr>
      </w:pPr>
      <w:r w:rsidRPr="00506CA1">
        <w:rPr>
          <w:rFonts w:ascii="Calibri" w:hAnsi="Calibri" w:cs="Calibri"/>
          <w:sz w:val="22"/>
          <w:szCs w:val="22"/>
          <w:lang w:val="en-GB"/>
        </w:rPr>
        <w:t>Handling and material flow systems connecting storage and production processes</w:t>
      </w:r>
    </w:p>
    <w:p w14:paraId="26BF37A9" w14:textId="77777777" w:rsidR="00506CA1" w:rsidRPr="00506CA1" w:rsidRDefault="00506CA1" w:rsidP="00506CA1">
      <w:pPr>
        <w:pStyle w:val="Akapitzlist"/>
        <w:numPr>
          <w:ilvl w:val="0"/>
          <w:numId w:val="1"/>
        </w:numPr>
        <w:jc w:val="both"/>
        <w:rPr>
          <w:rFonts w:ascii="Calibri" w:hAnsi="Calibri" w:cs="Calibri"/>
          <w:sz w:val="22"/>
          <w:szCs w:val="22"/>
          <w:lang w:val="en-GB"/>
        </w:rPr>
      </w:pPr>
      <w:r w:rsidRPr="00506CA1">
        <w:rPr>
          <w:rFonts w:ascii="Calibri" w:hAnsi="Calibri" w:cs="Calibri"/>
          <w:sz w:val="22"/>
          <w:szCs w:val="22"/>
          <w:lang w:val="en-GB"/>
        </w:rPr>
        <w:t>Warehouse Management Systems (WMS)</w:t>
      </w:r>
    </w:p>
    <w:p w14:paraId="10C7150E" w14:textId="77777777" w:rsidR="00506CA1" w:rsidRPr="00506CA1" w:rsidRDefault="00506CA1" w:rsidP="00506CA1">
      <w:pPr>
        <w:pStyle w:val="Akapitzlist"/>
        <w:numPr>
          <w:ilvl w:val="0"/>
          <w:numId w:val="1"/>
        </w:numPr>
        <w:jc w:val="both"/>
        <w:rPr>
          <w:rFonts w:ascii="Calibri" w:hAnsi="Calibri" w:cs="Calibri"/>
          <w:sz w:val="22"/>
          <w:szCs w:val="22"/>
          <w:lang w:val="en-GB"/>
        </w:rPr>
      </w:pPr>
      <w:r w:rsidRPr="00506CA1">
        <w:rPr>
          <w:rFonts w:ascii="Calibri" w:hAnsi="Calibri" w:cs="Calibri"/>
          <w:sz w:val="22"/>
          <w:szCs w:val="22"/>
          <w:lang w:val="en-GB"/>
        </w:rPr>
        <w:t>Control and automation software integrating warehouse, production, and transport operations</w:t>
      </w:r>
    </w:p>
    <w:p w14:paraId="407F7894" w14:textId="77777777" w:rsidR="00506CA1" w:rsidRPr="00506CA1" w:rsidRDefault="00506CA1" w:rsidP="00506CA1">
      <w:pPr>
        <w:pStyle w:val="Akapitzlist"/>
        <w:numPr>
          <w:ilvl w:val="0"/>
          <w:numId w:val="1"/>
        </w:numPr>
        <w:jc w:val="both"/>
        <w:rPr>
          <w:rFonts w:ascii="Calibri" w:hAnsi="Calibri" w:cs="Calibri"/>
          <w:sz w:val="22"/>
          <w:szCs w:val="22"/>
          <w:lang w:val="en-GB"/>
        </w:rPr>
      </w:pPr>
      <w:r w:rsidRPr="00506CA1">
        <w:rPr>
          <w:rFonts w:ascii="Calibri" w:hAnsi="Calibri" w:cs="Calibri"/>
          <w:sz w:val="22"/>
          <w:szCs w:val="22"/>
          <w:lang w:val="en-GB"/>
        </w:rPr>
        <w:t>Customized turnkey intralogistics solutions tailored to specific industry requirements</w:t>
      </w:r>
    </w:p>
    <w:p w14:paraId="75418BF8" w14:textId="77777777" w:rsidR="00506CA1" w:rsidRPr="00506CA1" w:rsidRDefault="00506CA1" w:rsidP="00506CA1">
      <w:pPr>
        <w:jc w:val="both"/>
        <w:rPr>
          <w:rFonts w:ascii="Calibri" w:hAnsi="Calibri" w:cs="Calibri"/>
          <w:sz w:val="22"/>
          <w:szCs w:val="22"/>
          <w:lang w:val="en-GB"/>
        </w:rPr>
      </w:pPr>
    </w:p>
    <w:p w14:paraId="6EA3B0DC" w14:textId="77777777" w:rsidR="00506CA1" w:rsidRPr="00506CA1" w:rsidRDefault="00506CA1" w:rsidP="00506CA1">
      <w:pPr>
        <w:jc w:val="both"/>
        <w:rPr>
          <w:rFonts w:ascii="Calibri" w:hAnsi="Calibri" w:cs="Calibri"/>
          <w:sz w:val="22"/>
          <w:szCs w:val="22"/>
          <w:lang w:val="en-GB"/>
        </w:rPr>
      </w:pPr>
      <w:r w:rsidRPr="00506CA1">
        <w:rPr>
          <w:rFonts w:ascii="Calibri" w:hAnsi="Calibri" w:cs="Calibri"/>
          <w:sz w:val="22"/>
          <w:szCs w:val="22"/>
          <w:lang w:val="en-GB"/>
        </w:rPr>
        <w:t>A particularly strong focus of Fehr's business is the window, door, and façade industry, where the company has delivered advanced automation and intralogistics projects for some of Europe's leading manufacturers. Through its deep understanding of production processes, material flows, and future industry requirements, Fehr helps window manufacturers increase efficiency, improve space utilization, reduce manual handling, and build scalable logistics infrastructures capable of supporting long-term growth.</w:t>
      </w:r>
    </w:p>
    <w:p w14:paraId="18C4ED39" w14:textId="77777777" w:rsidR="00506CA1" w:rsidRPr="00506CA1" w:rsidRDefault="00506CA1" w:rsidP="00506CA1">
      <w:pPr>
        <w:jc w:val="both"/>
        <w:rPr>
          <w:rFonts w:ascii="Calibri" w:hAnsi="Calibri" w:cs="Calibri"/>
          <w:sz w:val="22"/>
          <w:szCs w:val="22"/>
          <w:lang w:val="en-GB"/>
        </w:rPr>
      </w:pPr>
    </w:p>
    <w:p w14:paraId="55CD5C94" w14:textId="77777777" w:rsidR="00506CA1" w:rsidRPr="00506CA1" w:rsidRDefault="00506CA1" w:rsidP="00506CA1">
      <w:pPr>
        <w:jc w:val="both"/>
        <w:rPr>
          <w:rFonts w:ascii="Calibri" w:hAnsi="Calibri" w:cs="Calibri"/>
          <w:sz w:val="22"/>
          <w:szCs w:val="22"/>
          <w:lang w:val="en-GB"/>
        </w:rPr>
      </w:pPr>
      <w:r w:rsidRPr="00506CA1">
        <w:rPr>
          <w:rFonts w:ascii="Calibri" w:hAnsi="Calibri" w:cs="Calibri"/>
          <w:sz w:val="22"/>
          <w:szCs w:val="22"/>
          <w:lang w:val="en-GB"/>
        </w:rPr>
        <w:t>One of Fehr's key differentiators is its ability to deliver complete, end-to-end solutions from a single source. The company supports customers throughout the entire project lifecycle, beginning with material flow analysis, process consulting, simulation, and solution design. Fehr then manages project engineering, system manufacturing, software integration, installation, commissioning, training, and long-term operational support. Comprehensive service agreements, maintenance programs, modernization projects, spare parts management, and WMS support ensure that customers continue to receive value long after startup.</w:t>
      </w:r>
    </w:p>
    <w:p w14:paraId="42656E6F" w14:textId="77777777" w:rsidR="00506CA1" w:rsidRPr="00506CA1" w:rsidRDefault="00506CA1" w:rsidP="00506CA1">
      <w:pPr>
        <w:jc w:val="both"/>
        <w:rPr>
          <w:rFonts w:ascii="Calibri" w:hAnsi="Calibri" w:cs="Calibri"/>
          <w:sz w:val="22"/>
          <w:szCs w:val="22"/>
          <w:lang w:val="en-GB"/>
        </w:rPr>
      </w:pPr>
    </w:p>
    <w:p w14:paraId="484A7BE7" w14:textId="77777777" w:rsidR="00506CA1" w:rsidRPr="00506CA1" w:rsidRDefault="00506CA1" w:rsidP="00506CA1">
      <w:pPr>
        <w:jc w:val="both"/>
        <w:rPr>
          <w:rFonts w:ascii="Calibri" w:hAnsi="Calibri" w:cs="Calibri"/>
          <w:sz w:val="22"/>
          <w:szCs w:val="22"/>
          <w:lang w:val="en-GB"/>
        </w:rPr>
      </w:pPr>
      <w:r w:rsidRPr="00506CA1">
        <w:rPr>
          <w:rFonts w:ascii="Calibri" w:hAnsi="Calibri" w:cs="Calibri"/>
          <w:sz w:val="22"/>
          <w:szCs w:val="22"/>
          <w:lang w:val="en-GB"/>
        </w:rPr>
        <w:t xml:space="preserve">Fehr's solutions are designed to be modular, scalable, and technology-independent, allowing customers to expand or adapt their systems as production volumes, business models, and market </w:t>
      </w:r>
      <w:r w:rsidRPr="00506CA1">
        <w:rPr>
          <w:rFonts w:ascii="Calibri" w:hAnsi="Calibri" w:cs="Calibri"/>
          <w:sz w:val="22"/>
          <w:szCs w:val="22"/>
          <w:lang w:val="en-GB"/>
        </w:rPr>
        <w:lastRenderedPageBreak/>
        <w:t>requirements evolve. This future-proof approach helps protect investments while providing flexibility for continuous growth and innovation.</w:t>
      </w:r>
    </w:p>
    <w:p w14:paraId="6C80361D" w14:textId="77777777" w:rsidR="00506CA1" w:rsidRPr="00506CA1" w:rsidRDefault="00506CA1" w:rsidP="00506CA1">
      <w:pPr>
        <w:jc w:val="both"/>
        <w:rPr>
          <w:rFonts w:ascii="Calibri" w:hAnsi="Calibri" w:cs="Calibri"/>
          <w:sz w:val="22"/>
          <w:szCs w:val="22"/>
          <w:lang w:val="en-GB"/>
        </w:rPr>
      </w:pPr>
    </w:p>
    <w:p w14:paraId="4B79345F" w14:textId="77777777" w:rsidR="00506CA1" w:rsidRPr="00506CA1" w:rsidRDefault="00506CA1" w:rsidP="00506CA1">
      <w:pPr>
        <w:spacing w:after="0" w:line="300" w:lineRule="atLeast"/>
        <w:jc w:val="both"/>
        <w:rPr>
          <w:rFonts w:ascii="Calibri" w:eastAsia="Times New Roman" w:hAnsi="Calibri" w:cs="Calibri"/>
          <w:color w:val="000000"/>
          <w:kern w:val="0"/>
          <w:sz w:val="22"/>
          <w:szCs w:val="22"/>
          <w:lang w:val="en-GB" w:eastAsia="pl-PL"/>
          <w14:ligatures w14:val="none"/>
        </w:rPr>
      </w:pPr>
      <w:r w:rsidRPr="00506CA1">
        <w:rPr>
          <w:rFonts w:ascii="Calibri" w:eastAsia="Times New Roman" w:hAnsi="Calibri" w:cs="Calibri"/>
          <w:color w:val="000000"/>
          <w:kern w:val="0"/>
          <w:sz w:val="22"/>
          <w:szCs w:val="22"/>
          <w:lang w:val="en-GB" w:eastAsia="pl-PL"/>
          <w14:ligatures w14:val="none"/>
        </w:rPr>
        <w:t>Today, the Fehr Group operates internationally with locations in </w:t>
      </w:r>
      <w:r w:rsidRPr="00506CA1">
        <w:rPr>
          <w:rFonts w:ascii="Calibri" w:eastAsia="Times New Roman" w:hAnsi="Calibri" w:cs="Calibri"/>
          <w:b/>
          <w:bCs/>
          <w:color w:val="000000"/>
          <w:kern w:val="0"/>
          <w:sz w:val="22"/>
          <w:szCs w:val="22"/>
          <w:lang w:val="en-GB" w:eastAsia="pl-PL"/>
          <w14:ligatures w14:val="none"/>
        </w:rPr>
        <w:t>Switzerland, Germany, Poland, France, Italy, and the United States</w:t>
      </w:r>
      <w:r w:rsidRPr="00506CA1">
        <w:rPr>
          <w:rFonts w:ascii="Calibri" w:eastAsia="Times New Roman" w:hAnsi="Calibri" w:cs="Calibri"/>
          <w:color w:val="000000"/>
          <w:kern w:val="0"/>
          <w:sz w:val="22"/>
          <w:szCs w:val="22"/>
          <w:lang w:val="en-GB" w:eastAsia="pl-PL"/>
          <w14:ligatures w14:val="none"/>
        </w:rPr>
        <w:t>, combining local expertise with global project capabilities and service support. In 2024, the group further strengthened its market position through the integration of </w:t>
      </w:r>
      <w:r w:rsidRPr="00506CA1">
        <w:rPr>
          <w:rFonts w:ascii="Calibri" w:eastAsia="Times New Roman" w:hAnsi="Calibri" w:cs="Calibri"/>
          <w:b/>
          <w:bCs/>
          <w:color w:val="000000"/>
          <w:kern w:val="0"/>
          <w:sz w:val="22"/>
          <w:szCs w:val="22"/>
          <w:lang w:val="en-GB" w:eastAsia="pl-PL"/>
          <w14:ligatures w14:val="none"/>
        </w:rPr>
        <w:t xml:space="preserve">Matter </w:t>
      </w:r>
      <w:proofErr w:type="spellStart"/>
      <w:r w:rsidRPr="00506CA1">
        <w:rPr>
          <w:rFonts w:ascii="Calibri" w:eastAsia="Times New Roman" w:hAnsi="Calibri" w:cs="Calibri"/>
          <w:b/>
          <w:bCs/>
          <w:color w:val="000000"/>
          <w:kern w:val="0"/>
          <w:sz w:val="22"/>
          <w:szCs w:val="22"/>
          <w:lang w:val="en-GB" w:eastAsia="pl-PL"/>
          <w14:ligatures w14:val="none"/>
        </w:rPr>
        <w:t>S.r.l</w:t>
      </w:r>
      <w:proofErr w:type="spellEnd"/>
      <w:r w:rsidRPr="00506CA1">
        <w:rPr>
          <w:rFonts w:ascii="Calibri" w:eastAsia="Times New Roman" w:hAnsi="Calibri" w:cs="Calibri"/>
          <w:b/>
          <w:bCs/>
          <w:color w:val="000000"/>
          <w:kern w:val="0"/>
          <w:sz w:val="22"/>
          <w:szCs w:val="22"/>
          <w:lang w:val="en-GB" w:eastAsia="pl-PL"/>
          <w14:ligatures w14:val="none"/>
        </w:rPr>
        <w:t>.</w:t>
      </w:r>
      <w:r w:rsidRPr="00506CA1">
        <w:rPr>
          <w:rFonts w:ascii="Calibri" w:eastAsia="Times New Roman" w:hAnsi="Calibri" w:cs="Calibri"/>
          <w:color w:val="000000"/>
          <w:kern w:val="0"/>
          <w:sz w:val="22"/>
          <w:szCs w:val="22"/>
          <w:lang w:val="en-GB" w:eastAsia="pl-PL"/>
          <w14:ligatures w14:val="none"/>
        </w:rPr>
        <w:t>, one of the leading specialists in automated storage, handling, and material flow solutions for long and flat goods. This strategic expansion significantly broadens the group's technological portfolio, increases engineering and manufacturing capabilities, and enables customers to benefit from an even wider range of integrated intralogistics solutions, enhanced innovation potential, and greater project flexibility worldwide.</w:t>
      </w:r>
    </w:p>
    <w:p w14:paraId="263100DB" w14:textId="77777777" w:rsidR="00506CA1" w:rsidRPr="00506CA1" w:rsidRDefault="00506CA1" w:rsidP="00506CA1">
      <w:pPr>
        <w:jc w:val="both"/>
        <w:rPr>
          <w:rFonts w:ascii="Calibri" w:hAnsi="Calibri" w:cs="Calibri"/>
          <w:sz w:val="22"/>
          <w:szCs w:val="22"/>
          <w:lang w:val="en-GB"/>
        </w:rPr>
      </w:pPr>
    </w:p>
    <w:p w14:paraId="24034DBD" w14:textId="40FAA6D4" w:rsidR="00506CA1" w:rsidRPr="00506CA1" w:rsidRDefault="00506CA1" w:rsidP="00506CA1">
      <w:pPr>
        <w:jc w:val="both"/>
        <w:rPr>
          <w:rFonts w:ascii="Calibri" w:hAnsi="Calibri" w:cs="Calibri"/>
          <w:sz w:val="22"/>
          <w:szCs w:val="22"/>
          <w:lang w:val="en-GB"/>
        </w:rPr>
      </w:pPr>
      <w:r w:rsidRPr="00506CA1">
        <w:rPr>
          <w:rFonts w:ascii="Calibri" w:hAnsi="Calibri" w:cs="Calibri"/>
          <w:sz w:val="22"/>
          <w:szCs w:val="22"/>
          <w:lang w:val="en-GB"/>
        </w:rPr>
        <w:t>With more than 650 systems successfully installed and operating worldwide, Fehr has established itself as a trusted long-term partner for industrial and commercial companies seeking to modernize and automate their intralogistics operations. Combining decades of engineering expertise, industry knowledge, software competence, and service excellence, Fehr delivers integrated solutions that ensure efficient material flows, operational reliability, and sustainable competitiveness for its customers.</w:t>
      </w:r>
    </w:p>
    <w:sectPr w:rsidR="00506CA1" w:rsidRPr="00506CA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64571E3E"/>
    <w:multiLevelType w:val="hybridMultilevel"/>
    <w:tmpl w:val="BCBC0D8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16cid:durableId="568267295">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5"/>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6CA1"/>
    <w:rsid w:val="00506CA1"/>
    <w:rsid w:val="00923030"/>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ecimalSymbol w:val=","/>
  <w:listSeparator w:val=";"/>
  <w14:docId w14:val="1C41A35C"/>
  <w15:chartTrackingRefBased/>
  <w15:docId w15:val="{60841CE8-AA1E-F949-BF45-27154B52AA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pl-P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link w:val="Nagwek1Znak"/>
    <w:uiPriority w:val="9"/>
    <w:qFormat/>
    <w:rsid w:val="00506CA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gwek2">
    <w:name w:val="heading 2"/>
    <w:basedOn w:val="Normalny"/>
    <w:next w:val="Normalny"/>
    <w:link w:val="Nagwek2Znak"/>
    <w:uiPriority w:val="9"/>
    <w:semiHidden/>
    <w:unhideWhenUsed/>
    <w:qFormat/>
    <w:rsid w:val="00506CA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gwek3">
    <w:name w:val="heading 3"/>
    <w:basedOn w:val="Normalny"/>
    <w:next w:val="Normalny"/>
    <w:link w:val="Nagwek3Znak"/>
    <w:uiPriority w:val="9"/>
    <w:semiHidden/>
    <w:unhideWhenUsed/>
    <w:qFormat/>
    <w:rsid w:val="00506CA1"/>
    <w:pPr>
      <w:keepNext/>
      <w:keepLines/>
      <w:spacing w:before="160" w:after="80"/>
      <w:outlineLvl w:val="2"/>
    </w:pPr>
    <w:rPr>
      <w:rFonts w:eastAsiaTheme="majorEastAsia" w:cstheme="majorBidi"/>
      <w:color w:val="0F4761" w:themeColor="accent1" w:themeShade="BF"/>
      <w:sz w:val="28"/>
      <w:szCs w:val="28"/>
    </w:rPr>
  </w:style>
  <w:style w:type="paragraph" w:styleId="Nagwek4">
    <w:name w:val="heading 4"/>
    <w:basedOn w:val="Normalny"/>
    <w:next w:val="Normalny"/>
    <w:link w:val="Nagwek4Znak"/>
    <w:uiPriority w:val="9"/>
    <w:semiHidden/>
    <w:unhideWhenUsed/>
    <w:qFormat/>
    <w:rsid w:val="00506CA1"/>
    <w:pPr>
      <w:keepNext/>
      <w:keepLines/>
      <w:spacing w:before="80" w:after="40"/>
      <w:outlineLvl w:val="3"/>
    </w:pPr>
    <w:rPr>
      <w:rFonts w:eastAsiaTheme="majorEastAsia" w:cstheme="majorBidi"/>
      <w:i/>
      <w:iCs/>
      <w:color w:val="0F4761" w:themeColor="accent1" w:themeShade="BF"/>
    </w:rPr>
  </w:style>
  <w:style w:type="paragraph" w:styleId="Nagwek5">
    <w:name w:val="heading 5"/>
    <w:basedOn w:val="Normalny"/>
    <w:next w:val="Normalny"/>
    <w:link w:val="Nagwek5Znak"/>
    <w:uiPriority w:val="9"/>
    <w:semiHidden/>
    <w:unhideWhenUsed/>
    <w:qFormat/>
    <w:rsid w:val="00506CA1"/>
    <w:pPr>
      <w:keepNext/>
      <w:keepLines/>
      <w:spacing w:before="80" w:after="40"/>
      <w:outlineLvl w:val="4"/>
    </w:pPr>
    <w:rPr>
      <w:rFonts w:eastAsiaTheme="majorEastAsia" w:cstheme="majorBidi"/>
      <w:color w:val="0F4761" w:themeColor="accent1" w:themeShade="BF"/>
    </w:rPr>
  </w:style>
  <w:style w:type="paragraph" w:styleId="Nagwek6">
    <w:name w:val="heading 6"/>
    <w:basedOn w:val="Normalny"/>
    <w:next w:val="Normalny"/>
    <w:link w:val="Nagwek6Znak"/>
    <w:uiPriority w:val="9"/>
    <w:semiHidden/>
    <w:unhideWhenUsed/>
    <w:qFormat/>
    <w:rsid w:val="00506CA1"/>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506CA1"/>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506CA1"/>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506CA1"/>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506CA1"/>
    <w:rPr>
      <w:rFonts w:asciiTheme="majorHAnsi" w:eastAsiaTheme="majorEastAsia" w:hAnsiTheme="majorHAnsi" w:cstheme="majorBidi"/>
      <w:color w:val="0F4761" w:themeColor="accent1" w:themeShade="BF"/>
      <w:sz w:val="40"/>
      <w:szCs w:val="40"/>
    </w:rPr>
  </w:style>
  <w:style w:type="character" w:customStyle="1" w:styleId="Nagwek2Znak">
    <w:name w:val="Nagłówek 2 Znak"/>
    <w:basedOn w:val="Domylnaczcionkaakapitu"/>
    <w:link w:val="Nagwek2"/>
    <w:uiPriority w:val="9"/>
    <w:semiHidden/>
    <w:rsid w:val="00506CA1"/>
    <w:rPr>
      <w:rFonts w:asciiTheme="majorHAnsi" w:eastAsiaTheme="majorEastAsia" w:hAnsiTheme="majorHAnsi" w:cstheme="majorBidi"/>
      <w:color w:val="0F4761" w:themeColor="accent1" w:themeShade="BF"/>
      <w:sz w:val="32"/>
      <w:szCs w:val="32"/>
    </w:rPr>
  </w:style>
  <w:style w:type="character" w:customStyle="1" w:styleId="Nagwek3Znak">
    <w:name w:val="Nagłówek 3 Znak"/>
    <w:basedOn w:val="Domylnaczcionkaakapitu"/>
    <w:link w:val="Nagwek3"/>
    <w:uiPriority w:val="9"/>
    <w:semiHidden/>
    <w:rsid w:val="00506CA1"/>
    <w:rPr>
      <w:rFonts w:eastAsiaTheme="majorEastAsia" w:cstheme="majorBidi"/>
      <w:color w:val="0F4761" w:themeColor="accent1" w:themeShade="BF"/>
      <w:sz w:val="28"/>
      <w:szCs w:val="28"/>
    </w:rPr>
  </w:style>
  <w:style w:type="character" w:customStyle="1" w:styleId="Nagwek4Znak">
    <w:name w:val="Nagłówek 4 Znak"/>
    <w:basedOn w:val="Domylnaczcionkaakapitu"/>
    <w:link w:val="Nagwek4"/>
    <w:uiPriority w:val="9"/>
    <w:semiHidden/>
    <w:rsid w:val="00506CA1"/>
    <w:rPr>
      <w:rFonts w:eastAsiaTheme="majorEastAsia" w:cstheme="majorBidi"/>
      <w:i/>
      <w:iCs/>
      <w:color w:val="0F4761" w:themeColor="accent1" w:themeShade="BF"/>
    </w:rPr>
  </w:style>
  <w:style w:type="character" w:customStyle="1" w:styleId="Nagwek5Znak">
    <w:name w:val="Nagłówek 5 Znak"/>
    <w:basedOn w:val="Domylnaczcionkaakapitu"/>
    <w:link w:val="Nagwek5"/>
    <w:uiPriority w:val="9"/>
    <w:semiHidden/>
    <w:rsid w:val="00506CA1"/>
    <w:rPr>
      <w:rFonts w:eastAsiaTheme="majorEastAsia" w:cstheme="majorBidi"/>
      <w:color w:val="0F4761" w:themeColor="accent1" w:themeShade="BF"/>
    </w:rPr>
  </w:style>
  <w:style w:type="character" w:customStyle="1" w:styleId="Nagwek6Znak">
    <w:name w:val="Nagłówek 6 Znak"/>
    <w:basedOn w:val="Domylnaczcionkaakapitu"/>
    <w:link w:val="Nagwek6"/>
    <w:uiPriority w:val="9"/>
    <w:semiHidden/>
    <w:rsid w:val="00506CA1"/>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506CA1"/>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506CA1"/>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506CA1"/>
    <w:rPr>
      <w:rFonts w:eastAsiaTheme="majorEastAsia" w:cstheme="majorBidi"/>
      <w:color w:val="272727" w:themeColor="text1" w:themeTint="D8"/>
    </w:rPr>
  </w:style>
  <w:style w:type="paragraph" w:styleId="Tytu">
    <w:name w:val="Title"/>
    <w:basedOn w:val="Normalny"/>
    <w:next w:val="Normalny"/>
    <w:link w:val="TytuZnak"/>
    <w:uiPriority w:val="10"/>
    <w:qFormat/>
    <w:rsid w:val="00506CA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506CA1"/>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506CA1"/>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506CA1"/>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506CA1"/>
    <w:pPr>
      <w:spacing w:before="160"/>
      <w:jc w:val="center"/>
    </w:pPr>
    <w:rPr>
      <w:i/>
      <w:iCs/>
      <w:color w:val="404040" w:themeColor="text1" w:themeTint="BF"/>
    </w:rPr>
  </w:style>
  <w:style w:type="character" w:customStyle="1" w:styleId="CytatZnak">
    <w:name w:val="Cytat Znak"/>
    <w:basedOn w:val="Domylnaczcionkaakapitu"/>
    <w:link w:val="Cytat"/>
    <w:uiPriority w:val="29"/>
    <w:rsid w:val="00506CA1"/>
    <w:rPr>
      <w:i/>
      <w:iCs/>
      <w:color w:val="404040" w:themeColor="text1" w:themeTint="BF"/>
    </w:rPr>
  </w:style>
  <w:style w:type="paragraph" w:styleId="Akapitzlist">
    <w:name w:val="List Paragraph"/>
    <w:basedOn w:val="Normalny"/>
    <w:uiPriority w:val="34"/>
    <w:qFormat/>
    <w:rsid w:val="00506CA1"/>
    <w:pPr>
      <w:ind w:left="720"/>
      <w:contextualSpacing/>
    </w:pPr>
  </w:style>
  <w:style w:type="character" w:styleId="Wyrnienieintensywne">
    <w:name w:val="Intense Emphasis"/>
    <w:basedOn w:val="Domylnaczcionkaakapitu"/>
    <w:uiPriority w:val="21"/>
    <w:qFormat/>
    <w:rsid w:val="00506CA1"/>
    <w:rPr>
      <w:i/>
      <w:iCs/>
      <w:color w:val="0F4761" w:themeColor="accent1" w:themeShade="BF"/>
    </w:rPr>
  </w:style>
  <w:style w:type="paragraph" w:styleId="Cytatintensywny">
    <w:name w:val="Intense Quote"/>
    <w:basedOn w:val="Normalny"/>
    <w:next w:val="Normalny"/>
    <w:link w:val="CytatintensywnyZnak"/>
    <w:uiPriority w:val="30"/>
    <w:qFormat/>
    <w:rsid w:val="00506CA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ytatintensywnyZnak">
    <w:name w:val="Cytat intensywny Znak"/>
    <w:basedOn w:val="Domylnaczcionkaakapitu"/>
    <w:link w:val="Cytatintensywny"/>
    <w:uiPriority w:val="30"/>
    <w:rsid w:val="00506CA1"/>
    <w:rPr>
      <w:i/>
      <w:iCs/>
      <w:color w:val="0F4761" w:themeColor="accent1" w:themeShade="BF"/>
    </w:rPr>
  </w:style>
  <w:style w:type="character" w:styleId="Odwoanieintensywne">
    <w:name w:val="Intense Reference"/>
    <w:basedOn w:val="Domylnaczcionkaakapitu"/>
    <w:uiPriority w:val="32"/>
    <w:qFormat/>
    <w:rsid w:val="00506CA1"/>
    <w:rPr>
      <w:b/>
      <w:bCs/>
      <w:smallCaps/>
      <w:color w:val="0F4761" w:themeColor="accent1" w:themeShade="BF"/>
      <w:spacing w:val="5"/>
    </w:rPr>
  </w:style>
  <w:style w:type="character" w:customStyle="1" w:styleId="apple-converted-space">
    <w:name w:val="apple-converted-space"/>
    <w:basedOn w:val="Domylnaczcionkaakapitu"/>
    <w:rsid w:val="00506CA1"/>
  </w:style>
  <w:style w:type="character" w:styleId="Pogrubienie">
    <w:name w:val="Strong"/>
    <w:basedOn w:val="Domylnaczcionkaakapitu"/>
    <w:uiPriority w:val="22"/>
    <w:qFormat/>
    <w:rsid w:val="00506CA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519</Words>
  <Characters>3546</Characters>
  <Application>Microsoft Office Word</Application>
  <DocSecurity>0</DocSecurity>
  <Lines>68</Lines>
  <Paragraphs>18</Paragraphs>
  <ScaleCrop>false</ScaleCrop>
  <Company/>
  <LinksUpToDate>false</LinksUpToDate>
  <CharactersWithSpaces>4047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Lukasz Popielarczyk</dc:creator>
  <cp:keywords/>
  <dc:description/>
  <cp:lastModifiedBy>Lukasz Popielarczyk</cp:lastModifiedBy>
  <cp:revision>1</cp:revision>
  <dcterms:created xsi:type="dcterms:W3CDTF">2026-10-14T04:16:00Z</dcterms:created>
  <dcterms:modified xsi:type="dcterms:W3CDTF">2026-10-14T04:18:00Z</dcterms:modified>
</cp:coreProperties>
</file>